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394FD" w14:textId="77777777" w:rsidR="00E35DD2" w:rsidRPr="00E35DD2" w:rsidRDefault="00E35DD2" w:rsidP="00E35DD2">
      <w:pPr>
        <w:rPr>
          <w:bCs/>
          <w:lang w:val="en-CA"/>
        </w:rPr>
      </w:pPr>
      <w:r w:rsidRPr="00E35DD2">
        <w:rPr>
          <w:bCs/>
          <w:lang w:val="en-CA"/>
        </w:rPr>
        <w:t>Materials and Methods</w:t>
      </w:r>
    </w:p>
    <w:p w14:paraId="38876FD9" w14:textId="77777777" w:rsidR="00E35DD2" w:rsidRPr="00E35DD2" w:rsidRDefault="00E35DD2" w:rsidP="00E35DD2">
      <w:pPr>
        <w:rPr>
          <w:bCs/>
          <w:lang w:val="en-CA"/>
        </w:rPr>
      </w:pPr>
      <w:r w:rsidRPr="00E35DD2">
        <w:rPr>
          <w:bCs/>
          <w:lang w:val="en-CA"/>
        </w:rPr>
        <w:t>Cell Culture and Immunofluorescence Staining</w:t>
      </w:r>
    </w:p>
    <w:p w14:paraId="3EDAABAE" w14:textId="77777777" w:rsidR="00E35DD2" w:rsidRPr="00E35DD2" w:rsidRDefault="00E35DD2" w:rsidP="00E35DD2">
      <w:pPr>
        <w:rPr>
          <w:bCs/>
          <w:lang w:val="en-CA"/>
        </w:rPr>
      </w:pPr>
      <w:r w:rsidRPr="00E35DD2">
        <w:rPr>
          <w:bCs/>
          <w:lang w:val="en-CA"/>
        </w:rPr>
        <w:t>Cells were seeded at a density of xxx × 10³ cells/cm² onto 18 mm diameter round glass coverslips (Fisher Scientific, Waltham, MA, USA) placed in sterile 6-well tissue culture plates. Cultures were maintained in Dulbecco’s Modified Eagle’s Medium (DMEM, Gibco), supplemented with 10% fetal bovine serum (FBS, Gibco) and 1% penicillin–streptomycin (Gibco), at 37°C in a humidified incubator containing 5% CO₂ for 24–48 hours to allow adhesion and spreading.</w:t>
      </w:r>
    </w:p>
    <w:p w14:paraId="65F90681" w14:textId="77777777" w:rsidR="00E35DD2" w:rsidRPr="00E35DD2" w:rsidRDefault="00E35DD2" w:rsidP="00E35DD2">
      <w:pPr>
        <w:rPr>
          <w:bCs/>
          <w:lang w:val="en-CA"/>
        </w:rPr>
      </w:pPr>
    </w:p>
    <w:p w14:paraId="1D7B69F8" w14:textId="77777777" w:rsidR="00E35DD2" w:rsidRPr="00E35DD2" w:rsidRDefault="00E35DD2" w:rsidP="00E35DD2">
      <w:pPr>
        <w:rPr>
          <w:bCs/>
          <w:lang w:val="en-CA"/>
        </w:rPr>
      </w:pPr>
      <w:r w:rsidRPr="00E35DD2">
        <w:rPr>
          <w:bCs/>
          <w:lang w:val="en-CA"/>
        </w:rPr>
        <w:t>After incubation, cells were washed three times with phosphate-buffered saline (PBS; pH 7.4, Gibco) at room temperature and fixed in 3–4% paraformaldehyde (Electron Microscopy Sciences) in PBS for 15–20 minutes at room temperature. Following fixation, samples were washed three times with PBS and permeabilized with 0.1% Triton X-100 in PBS for 10 minutes at room temperature.</w:t>
      </w:r>
    </w:p>
    <w:p w14:paraId="229D002D" w14:textId="77777777" w:rsidR="00E35DD2" w:rsidRPr="00E35DD2" w:rsidRDefault="00E35DD2" w:rsidP="00E35DD2">
      <w:pPr>
        <w:rPr>
          <w:bCs/>
          <w:lang w:val="en-CA"/>
        </w:rPr>
      </w:pPr>
    </w:p>
    <w:p w14:paraId="7C1C70D9" w14:textId="77777777" w:rsidR="00E35DD2" w:rsidRPr="00E35DD2" w:rsidRDefault="00E35DD2" w:rsidP="00E35DD2">
      <w:pPr>
        <w:rPr>
          <w:bCs/>
          <w:lang w:val="en-CA"/>
        </w:rPr>
      </w:pPr>
      <w:r w:rsidRPr="00E35DD2">
        <w:rPr>
          <w:bCs/>
          <w:lang w:val="en-CA"/>
        </w:rPr>
        <w:t>To quench residual free aldehydes and reduce autofluorescence, samples were incubated with 0.25 M glycine (Sigma-Aldrich) in PBS for 10 minutes.</w:t>
      </w:r>
    </w:p>
    <w:p w14:paraId="6A221F01" w14:textId="77777777" w:rsidR="00E35DD2" w:rsidRPr="00E35DD2" w:rsidRDefault="00E35DD2" w:rsidP="00E35DD2">
      <w:pPr>
        <w:rPr>
          <w:bCs/>
          <w:lang w:val="en-CA"/>
        </w:rPr>
      </w:pPr>
    </w:p>
    <w:p w14:paraId="3A0C520A" w14:textId="77777777" w:rsidR="00E35DD2" w:rsidRPr="00E35DD2" w:rsidRDefault="00E35DD2" w:rsidP="00E35DD2">
      <w:pPr>
        <w:rPr>
          <w:bCs/>
          <w:lang w:val="en-CA"/>
        </w:rPr>
      </w:pPr>
      <w:r w:rsidRPr="00E35DD2">
        <w:rPr>
          <w:bCs/>
          <w:lang w:val="en-CA"/>
        </w:rPr>
        <w:t>Nonspecific antibody binding sites were blocked by incubating cells with 5% normal goat serum or a commercial protein blocking solution (e.g., Protein Block Serum-Free; Dako) for 30 minutes at room temperature.</w:t>
      </w:r>
    </w:p>
    <w:p w14:paraId="05B419F6" w14:textId="77777777" w:rsidR="00E35DD2" w:rsidRPr="00E35DD2" w:rsidRDefault="00E35DD2" w:rsidP="00E35DD2">
      <w:pPr>
        <w:rPr>
          <w:bCs/>
          <w:lang w:val="en-CA"/>
        </w:rPr>
      </w:pPr>
    </w:p>
    <w:p w14:paraId="69549B0D" w14:textId="77777777" w:rsidR="00E35DD2" w:rsidRPr="00E35DD2" w:rsidRDefault="00E35DD2" w:rsidP="00E35DD2">
      <w:pPr>
        <w:rPr>
          <w:bCs/>
          <w:lang w:val="en-CA"/>
        </w:rPr>
      </w:pPr>
      <w:r w:rsidRPr="00E35DD2">
        <w:rPr>
          <w:bCs/>
          <w:lang w:val="en-CA"/>
        </w:rPr>
        <w:t>Primary antibodies (either directly conjugated or detected via secondary antibodies) were diluted in appropriate antibody diluent (e.g., Dako Antibody Diluent with Background Reducing Components) and incubated overnight at 4°C in a humidified chamber. For multiplex immunofluorescence, primary antibodies conjugated to Alexa Fluor dyes spanning multiple spectra (e.g., Alexa Fluor 405, 488, 555, 594, and 647) were used. Negative controls included matched isotype IgG antibodies at corresponding concentrations.</w:t>
      </w:r>
    </w:p>
    <w:p w14:paraId="6DCD33C3" w14:textId="77777777" w:rsidR="00E35DD2" w:rsidRPr="00E35DD2" w:rsidRDefault="00E35DD2" w:rsidP="00E35DD2">
      <w:pPr>
        <w:rPr>
          <w:bCs/>
          <w:lang w:val="en-CA"/>
        </w:rPr>
      </w:pPr>
    </w:p>
    <w:p w14:paraId="7447AB36" w14:textId="77777777" w:rsidR="00E35DD2" w:rsidRPr="00E35DD2" w:rsidRDefault="00E35DD2" w:rsidP="00E35DD2">
      <w:pPr>
        <w:rPr>
          <w:bCs/>
          <w:lang w:val="en-CA"/>
        </w:rPr>
      </w:pPr>
      <w:r w:rsidRPr="00E35DD2">
        <w:rPr>
          <w:bCs/>
          <w:lang w:val="en-CA"/>
        </w:rPr>
        <w:t>Following primary antibody incubation, coverslips were washed three times with PBS and incubated for 1 hour at room temperature in the dark with fluorescently labeled secondary antibodies or phalloidin conjugates as needed. Cellular nuclei were optionally counterstained with 0.5 ng/ml DAPI (Sigma-Aldrich).</w:t>
      </w:r>
    </w:p>
    <w:p w14:paraId="7C801BB1" w14:textId="77777777" w:rsidR="00E35DD2" w:rsidRPr="00E35DD2" w:rsidRDefault="00E35DD2" w:rsidP="00E35DD2">
      <w:pPr>
        <w:rPr>
          <w:bCs/>
          <w:lang w:val="en-CA"/>
        </w:rPr>
      </w:pPr>
    </w:p>
    <w:p w14:paraId="59B356DA" w14:textId="77777777" w:rsidR="00E35DD2" w:rsidRPr="00E35DD2" w:rsidRDefault="00E35DD2" w:rsidP="00E35DD2">
      <w:pPr>
        <w:rPr>
          <w:bCs/>
          <w:lang w:val="en-CA"/>
        </w:rPr>
      </w:pPr>
      <w:r w:rsidRPr="00E35DD2">
        <w:rPr>
          <w:bCs/>
          <w:lang w:val="en-CA"/>
        </w:rPr>
        <w:t>After final washes, samples were mounted with an antifade reagent (e.g., ProLong Gold or VECTASHIELD, Thermo Fisher or Vector Laboratories) to preserve fluorescence.</w:t>
      </w:r>
    </w:p>
    <w:p w14:paraId="5017C548" w14:textId="77777777" w:rsidR="00E35DD2" w:rsidRPr="00E35DD2" w:rsidRDefault="00E35DD2" w:rsidP="00E35DD2">
      <w:pPr>
        <w:rPr>
          <w:bCs/>
          <w:lang w:val="en-CA"/>
        </w:rPr>
      </w:pPr>
    </w:p>
    <w:p w14:paraId="3AF83E10" w14:textId="77777777" w:rsidR="00E35DD2" w:rsidRPr="00E35DD2" w:rsidRDefault="00E35DD2" w:rsidP="00E35DD2">
      <w:pPr>
        <w:rPr>
          <w:bCs/>
          <w:lang w:val="en-CA"/>
        </w:rPr>
      </w:pPr>
      <w:r w:rsidRPr="00E35DD2">
        <w:rPr>
          <w:bCs/>
          <w:lang w:val="en-CA"/>
        </w:rPr>
        <w:t>Confocal Microscopy and Image Acquisition (Leica TCS SP8)</w:t>
      </w:r>
    </w:p>
    <w:p w14:paraId="6071BCA9" w14:textId="77777777" w:rsidR="00E35DD2" w:rsidRPr="00E35DD2" w:rsidRDefault="00E35DD2" w:rsidP="00E35DD2">
      <w:pPr>
        <w:rPr>
          <w:bCs/>
          <w:lang w:val="en-CA"/>
        </w:rPr>
      </w:pPr>
      <w:r w:rsidRPr="00E35DD2">
        <w:rPr>
          <w:bCs/>
          <w:lang w:val="en-CA"/>
        </w:rPr>
        <w:t>Imaging was performed on a Leica TCS SP8 confocal laser scanning microscope (Leica Microsystems, Wetzlar, Germany) equipped with a Leica DMi8 inverted stand and a motorized XYZ stage including a Super Z autofocus drive with 1500 µm travel range for precise focus maintenance during Z-stack acquisition.</w:t>
      </w:r>
    </w:p>
    <w:p w14:paraId="065F78DD" w14:textId="77777777" w:rsidR="00E35DD2" w:rsidRPr="00E35DD2" w:rsidRDefault="00E35DD2" w:rsidP="00E35DD2">
      <w:pPr>
        <w:rPr>
          <w:bCs/>
          <w:lang w:val="en-CA"/>
        </w:rPr>
      </w:pPr>
    </w:p>
    <w:p w14:paraId="17AC651E" w14:textId="77777777" w:rsidR="00E35DD2" w:rsidRPr="00E35DD2" w:rsidRDefault="00E35DD2" w:rsidP="00E35DD2">
      <w:pPr>
        <w:rPr>
          <w:bCs/>
          <w:lang w:val="en-CA"/>
        </w:rPr>
      </w:pPr>
      <w:r w:rsidRPr="00E35DD2">
        <w:rPr>
          <w:bCs/>
          <w:lang w:val="en-CA"/>
        </w:rPr>
        <w:t>An environmental chamber integrated with the system maintained live-cell imaging conditions at 37°C and 5% CO₂ when required.</w:t>
      </w:r>
    </w:p>
    <w:p w14:paraId="4BAFF788" w14:textId="77777777" w:rsidR="00E35DD2" w:rsidRPr="00E35DD2" w:rsidRDefault="00E35DD2" w:rsidP="00E35DD2">
      <w:pPr>
        <w:rPr>
          <w:bCs/>
          <w:lang w:val="en-CA"/>
        </w:rPr>
      </w:pPr>
    </w:p>
    <w:p w14:paraId="38B7E8C2" w14:textId="77777777" w:rsidR="00E35DD2" w:rsidRPr="00E35DD2" w:rsidRDefault="00E35DD2" w:rsidP="00E35DD2">
      <w:pPr>
        <w:rPr>
          <w:bCs/>
          <w:lang w:val="en-CA"/>
        </w:rPr>
      </w:pPr>
      <w:r w:rsidRPr="00E35DD2">
        <w:rPr>
          <w:bCs/>
          <w:lang w:val="en-CA"/>
        </w:rPr>
        <w:t>Laser Excitation Sources</w:t>
      </w:r>
    </w:p>
    <w:p w14:paraId="026937D7" w14:textId="77777777" w:rsidR="00E35DD2" w:rsidRPr="00E35DD2" w:rsidRDefault="00E35DD2" w:rsidP="00E35DD2">
      <w:pPr>
        <w:rPr>
          <w:bCs/>
          <w:lang w:val="en-CA"/>
        </w:rPr>
      </w:pPr>
      <w:r w:rsidRPr="00E35DD2">
        <w:rPr>
          <w:bCs/>
          <w:lang w:val="en-CA"/>
        </w:rPr>
        <w:t>405 nm diode laser (continuous wave, 50 mW) for excitation of blue fluorophores (e.g., Alexa Fluor 405, DAPI)</w:t>
      </w:r>
    </w:p>
    <w:p w14:paraId="198FF306" w14:textId="77777777" w:rsidR="00E35DD2" w:rsidRPr="00E35DD2" w:rsidRDefault="00E35DD2" w:rsidP="00E35DD2">
      <w:pPr>
        <w:rPr>
          <w:bCs/>
          <w:lang w:val="en-CA"/>
        </w:rPr>
      </w:pPr>
    </w:p>
    <w:p w14:paraId="426ADE56" w14:textId="77777777" w:rsidR="00E35DD2" w:rsidRPr="00E35DD2" w:rsidRDefault="00E35DD2" w:rsidP="00E35DD2">
      <w:pPr>
        <w:rPr>
          <w:bCs/>
          <w:lang w:val="en-CA"/>
        </w:rPr>
      </w:pPr>
      <w:r w:rsidRPr="00E35DD2">
        <w:rPr>
          <w:bCs/>
          <w:lang w:val="en-CA"/>
        </w:rPr>
        <w:t>Pulsed white light laser (WLL) tunable from 470 to 670 nm with 1 nm increments, operating at 80 MHz repetition rate with up to 8 selectable acousto-optic tunable filter (AOTF) channels, each delivering ~1.5 mW</w:t>
      </w:r>
    </w:p>
    <w:p w14:paraId="18E059B8" w14:textId="77777777" w:rsidR="00E35DD2" w:rsidRPr="00E35DD2" w:rsidRDefault="00E35DD2" w:rsidP="00E35DD2">
      <w:pPr>
        <w:rPr>
          <w:bCs/>
          <w:lang w:val="en-CA"/>
        </w:rPr>
      </w:pPr>
    </w:p>
    <w:p w14:paraId="71DE9E77" w14:textId="77777777" w:rsidR="00E35DD2" w:rsidRPr="00E35DD2" w:rsidRDefault="00E35DD2" w:rsidP="00E35DD2">
      <w:pPr>
        <w:rPr>
          <w:bCs/>
          <w:lang w:val="en-CA"/>
        </w:rPr>
      </w:pPr>
      <w:r w:rsidRPr="00E35DD2">
        <w:rPr>
          <w:bCs/>
          <w:lang w:val="en-CA"/>
        </w:rPr>
        <w:t>Fixed laser lines at 458 nm, 488 nm, 514 nm, 561 nm, and 594 nm</w:t>
      </w:r>
    </w:p>
    <w:p w14:paraId="04722508" w14:textId="77777777" w:rsidR="00E35DD2" w:rsidRPr="00E35DD2" w:rsidRDefault="00E35DD2" w:rsidP="00E35DD2">
      <w:pPr>
        <w:rPr>
          <w:bCs/>
          <w:lang w:val="en-CA"/>
        </w:rPr>
      </w:pPr>
    </w:p>
    <w:p w14:paraId="2A0369AB" w14:textId="77777777" w:rsidR="00E35DD2" w:rsidRPr="00E35DD2" w:rsidRDefault="00E35DD2" w:rsidP="00E35DD2">
      <w:pPr>
        <w:rPr>
          <w:bCs/>
          <w:lang w:val="en-CA"/>
        </w:rPr>
      </w:pPr>
      <w:r w:rsidRPr="00E35DD2">
        <w:rPr>
          <w:bCs/>
          <w:lang w:val="en-CA"/>
        </w:rPr>
        <w:t>STED Depletion Lasers</w:t>
      </w:r>
    </w:p>
    <w:p w14:paraId="5FF97CB7" w14:textId="77777777" w:rsidR="00E35DD2" w:rsidRPr="00E35DD2" w:rsidRDefault="00E35DD2" w:rsidP="00E35DD2">
      <w:pPr>
        <w:rPr>
          <w:bCs/>
          <w:lang w:val="en-CA"/>
        </w:rPr>
      </w:pPr>
      <w:r w:rsidRPr="00E35DD2">
        <w:rPr>
          <w:bCs/>
          <w:lang w:val="en-CA"/>
        </w:rPr>
        <w:t>Continuous-wave (CW) STED lasers at 592 nm and 660 nm</w:t>
      </w:r>
    </w:p>
    <w:p w14:paraId="01327025" w14:textId="77777777" w:rsidR="00E35DD2" w:rsidRPr="00E35DD2" w:rsidRDefault="00E35DD2" w:rsidP="00E35DD2">
      <w:pPr>
        <w:rPr>
          <w:bCs/>
          <w:lang w:val="en-CA"/>
        </w:rPr>
      </w:pPr>
    </w:p>
    <w:p w14:paraId="0704F1FE" w14:textId="77777777" w:rsidR="00E35DD2" w:rsidRPr="00E35DD2" w:rsidRDefault="00E35DD2" w:rsidP="00E35DD2">
      <w:pPr>
        <w:rPr>
          <w:bCs/>
          <w:lang w:val="en-CA"/>
        </w:rPr>
      </w:pPr>
      <w:r w:rsidRPr="00E35DD2">
        <w:rPr>
          <w:bCs/>
          <w:lang w:val="en-CA"/>
        </w:rPr>
        <w:t>Pulsed STED laser at 775 nm</w:t>
      </w:r>
    </w:p>
    <w:p w14:paraId="63C459BD" w14:textId="77777777" w:rsidR="00E35DD2" w:rsidRPr="00E35DD2" w:rsidRDefault="00E35DD2" w:rsidP="00E35DD2">
      <w:pPr>
        <w:rPr>
          <w:bCs/>
          <w:lang w:val="en-CA"/>
        </w:rPr>
      </w:pPr>
    </w:p>
    <w:p w14:paraId="7EB3A367" w14:textId="77777777" w:rsidR="00E35DD2" w:rsidRPr="00E35DD2" w:rsidRDefault="00E35DD2" w:rsidP="00E35DD2">
      <w:pPr>
        <w:rPr>
          <w:bCs/>
          <w:lang w:val="en-CA"/>
        </w:rPr>
      </w:pPr>
      <w:r w:rsidRPr="00E35DD2">
        <w:rPr>
          <w:bCs/>
          <w:lang w:val="en-CA"/>
        </w:rPr>
        <w:t>Laser power settings were optimized per fluorophore and sample, typically using depletion laser powers of 20–50% (approximately 3–7 MW/cm² at the focal plane) and excitation powers between 1% and 20% (0.7 to 17 kW/cm²).</w:t>
      </w:r>
    </w:p>
    <w:p w14:paraId="4C9092B0" w14:textId="77777777" w:rsidR="00E35DD2" w:rsidRPr="00E35DD2" w:rsidRDefault="00E35DD2" w:rsidP="00E35DD2">
      <w:pPr>
        <w:rPr>
          <w:bCs/>
          <w:lang w:val="en-CA"/>
        </w:rPr>
      </w:pPr>
    </w:p>
    <w:p w14:paraId="615855E8" w14:textId="77777777" w:rsidR="00E35DD2" w:rsidRPr="00E35DD2" w:rsidRDefault="00E35DD2" w:rsidP="00E35DD2">
      <w:pPr>
        <w:rPr>
          <w:bCs/>
          <w:lang w:val="en-CA"/>
        </w:rPr>
      </w:pPr>
      <w:r w:rsidRPr="00E35DD2">
        <w:rPr>
          <w:bCs/>
          <w:lang w:val="en-CA"/>
        </w:rPr>
        <w:t>Objectives and Imaging Parameters</w:t>
      </w:r>
    </w:p>
    <w:p w14:paraId="14E49BAC" w14:textId="77777777" w:rsidR="00E35DD2" w:rsidRPr="00E35DD2" w:rsidRDefault="00E35DD2" w:rsidP="00E35DD2">
      <w:pPr>
        <w:rPr>
          <w:bCs/>
          <w:lang w:val="en-CA"/>
        </w:rPr>
      </w:pPr>
      <w:r w:rsidRPr="00E35DD2">
        <w:rPr>
          <w:bCs/>
          <w:lang w:val="en-CA"/>
        </w:rPr>
        <w:t>Images were acquired using high numerical aperture oil immersion objectives such as HC PL APO 63×/1.40 NA or 100×/1.40 NA oil immersion objectives (Leica) offering high resolution and light collection efficiency.</w:t>
      </w:r>
    </w:p>
    <w:p w14:paraId="2134C8AA" w14:textId="77777777" w:rsidR="00E35DD2" w:rsidRPr="00E35DD2" w:rsidRDefault="00E35DD2" w:rsidP="00E35DD2">
      <w:pPr>
        <w:rPr>
          <w:bCs/>
          <w:lang w:val="en-CA"/>
        </w:rPr>
      </w:pPr>
    </w:p>
    <w:p w14:paraId="0102D78F" w14:textId="77777777" w:rsidR="00E35DD2" w:rsidRPr="00E35DD2" w:rsidRDefault="00E35DD2" w:rsidP="00E35DD2">
      <w:pPr>
        <w:rPr>
          <w:bCs/>
          <w:lang w:val="en-CA"/>
        </w:rPr>
      </w:pPr>
      <w:r w:rsidRPr="00E35DD2">
        <w:rPr>
          <w:bCs/>
          <w:lang w:val="en-CA"/>
        </w:rPr>
        <w:t>Frame sizes typically at 512 × 512 pixels</w:t>
      </w:r>
    </w:p>
    <w:p w14:paraId="65144C75" w14:textId="77777777" w:rsidR="00E35DD2" w:rsidRPr="00E35DD2" w:rsidRDefault="00E35DD2" w:rsidP="00E35DD2">
      <w:pPr>
        <w:rPr>
          <w:bCs/>
          <w:lang w:val="en-CA"/>
        </w:rPr>
      </w:pPr>
    </w:p>
    <w:p w14:paraId="56C61798" w14:textId="77777777" w:rsidR="00E35DD2" w:rsidRPr="00E35DD2" w:rsidRDefault="00E35DD2" w:rsidP="00E35DD2">
      <w:pPr>
        <w:rPr>
          <w:bCs/>
          <w:lang w:val="en-CA"/>
        </w:rPr>
      </w:pPr>
      <w:r w:rsidRPr="00E35DD2">
        <w:rPr>
          <w:bCs/>
          <w:lang w:val="en-CA"/>
        </w:rPr>
        <w:t>Pixel sizes set to ~40–60 nm for confocal mode, and ~18–20 nm for STED mode to oversample enhanced resolution</w:t>
      </w:r>
    </w:p>
    <w:p w14:paraId="08840787" w14:textId="77777777" w:rsidR="00E35DD2" w:rsidRPr="00E35DD2" w:rsidRDefault="00E35DD2" w:rsidP="00E35DD2">
      <w:pPr>
        <w:rPr>
          <w:bCs/>
          <w:lang w:val="en-CA"/>
        </w:rPr>
      </w:pPr>
    </w:p>
    <w:p w14:paraId="4C216955" w14:textId="77777777" w:rsidR="00E35DD2" w:rsidRPr="00E35DD2" w:rsidRDefault="00E35DD2" w:rsidP="00E35DD2">
      <w:pPr>
        <w:rPr>
          <w:bCs/>
          <w:lang w:val="en-CA"/>
        </w:rPr>
      </w:pPr>
      <w:r w:rsidRPr="00E35DD2">
        <w:rPr>
          <w:bCs/>
          <w:lang w:val="en-CA"/>
        </w:rPr>
        <w:t>Pixel dwell times ranged from 1–5 µs per pixel, adjusted per sample brightness and photobleaching risk</w:t>
      </w:r>
    </w:p>
    <w:p w14:paraId="38D2D0EC" w14:textId="77777777" w:rsidR="00E35DD2" w:rsidRPr="00E35DD2" w:rsidRDefault="00E35DD2" w:rsidP="00E35DD2">
      <w:pPr>
        <w:rPr>
          <w:bCs/>
          <w:lang w:val="en-CA"/>
        </w:rPr>
      </w:pPr>
    </w:p>
    <w:p w14:paraId="0AA5CEEC" w14:textId="77777777" w:rsidR="00E35DD2" w:rsidRPr="00E35DD2" w:rsidRDefault="00E35DD2" w:rsidP="00E35DD2">
      <w:pPr>
        <w:rPr>
          <w:bCs/>
          <w:lang w:val="en-CA"/>
        </w:rPr>
      </w:pPr>
      <w:r w:rsidRPr="00E35DD2">
        <w:rPr>
          <w:bCs/>
          <w:lang w:val="en-CA"/>
        </w:rPr>
        <w:t>Line averaging between 2–4 applied for noise reduction</w:t>
      </w:r>
    </w:p>
    <w:p w14:paraId="15FFD767" w14:textId="77777777" w:rsidR="00E35DD2" w:rsidRPr="00E35DD2" w:rsidRDefault="00E35DD2" w:rsidP="00E35DD2">
      <w:pPr>
        <w:rPr>
          <w:bCs/>
          <w:lang w:val="en-CA"/>
        </w:rPr>
      </w:pPr>
    </w:p>
    <w:p w14:paraId="12F74F94" w14:textId="77777777" w:rsidR="00E35DD2" w:rsidRPr="00E35DD2" w:rsidRDefault="00E35DD2" w:rsidP="00E35DD2">
      <w:pPr>
        <w:rPr>
          <w:bCs/>
          <w:lang w:val="en-CA"/>
        </w:rPr>
      </w:pPr>
      <w:r w:rsidRPr="00E35DD2">
        <w:rPr>
          <w:bCs/>
          <w:lang w:val="en-CA"/>
        </w:rPr>
        <w:t xml:space="preserve">Z-stack images collected with step sizes matching Nyquist sampling for axial resolution (typically 0.15–0.3 </w:t>
      </w:r>
      <w:r w:rsidRPr="00E35DD2">
        <w:rPr>
          <w:bCs/>
          <w:lang w:val="fr-FR"/>
        </w:rPr>
        <w:t>μ</w:t>
      </w:r>
      <w:r w:rsidRPr="00E35DD2">
        <w:rPr>
          <w:bCs/>
          <w:lang w:val="en-CA"/>
        </w:rPr>
        <w:t>m)</w:t>
      </w:r>
    </w:p>
    <w:p w14:paraId="34B4AD58" w14:textId="77777777" w:rsidR="00E35DD2" w:rsidRPr="00E35DD2" w:rsidRDefault="00E35DD2" w:rsidP="00E35DD2">
      <w:pPr>
        <w:rPr>
          <w:bCs/>
          <w:lang w:val="en-CA"/>
        </w:rPr>
      </w:pPr>
    </w:p>
    <w:p w14:paraId="126AD4E0" w14:textId="77777777" w:rsidR="00E35DD2" w:rsidRPr="00E35DD2" w:rsidRDefault="00E35DD2" w:rsidP="00E35DD2">
      <w:pPr>
        <w:rPr>
          <w:bCs/>
          <w:lang w:val="en-CA"/>
        </w:rPr>
      </w:pPr>
      <w:r w:rsidRPr="00E35DD2">
        <w:rPr>
          <w:bCs/>
          <w:lang w:val="en-CA"/>
        </w:rPr>
        <w:t>Detection System</w:t>
      </w:r>
    </w:p>
    <w:p w14:paraId="277548ED" w14:textId="77777777" w:rsidR="00E35DD2" w:rsidRPr="00E35DD2" w:rsidRDefault="00E35DD2" w:rsidP="00E35DD2">
      <w:pPr>
        <w:rPr>
          <w:bCs/>
          <w:lang w:val="en-CA"/>
        </w:rPr>
      </w:pPr>
      <w:r w:rsidRPr="00E35DD2">
        <w:rPr>
          <w:bCs/>
          <w:lang w:val="en-CA"/>
        </w:rPr>
        <w:t>Fluorescence emission was separated spectrally using an Acousto-Optical Beam Splitter (AOBS) and acquired via:</w:t>
      </w:r>
    </w:p>
    <w:p w14:paraId="597B84BD" w14:textId="77777777" w:rsidR="00E35DD2" w:rsidRPr="00E35DD2" w:rsidRDefault="00E35DD2" w:rsidP="00E35DD2">
      <w:pPr>
        <w:rPr>
          <w:bCs/>
          <w:lang w:val="en-CA"/>
        </w:rPr>
      </w:pPr>
    </w:p>
    <w:p w14:paraId="72A01BED" w14:textId="77777777" w:rsidR="00E35DD2" w:rsidRPr="00E35DD2" w:rsidRDefault="00E35DD2" w:rsidP="00E35DD2">
      <w:pPr>
        <w:rPr>
          <w:bCs/>
          <w:lang w:val="en-CA"/>
        </w:rPr>
      </w:pPr>
      <w:r w:rsidRPr="00E35DD2">
        <w:rPr>
          <w:bCs/>
          <w:lang w:val="en-CA"/>
        </w:rPr>
        <w:t>Two Hybrid Detectors (HyD) (GaAsP-based) with high quantum efficiency (~45% at 530 nm), working in photon counting mode (ideal for confocal and STED imaging to increase sensitivity and suppress background)</w:t>
      </w:r>
    </w:p>
    <w:p w14:paraId="035C4811" w14:textId="77777777" w:rsidR="00E35DD2" w:rsidRPr="00E35DD2" w:rsidRDefault="00E35DD2" w:rsidP="00E35DD2">
      <w:pPr>
        <w:rPr>
          <w:bCs/>
          <w:lang w:val="en-CA"/>
        </w:rPr>
      </w:pPr>
    </w:p>
    <w:p w14:paraId="0645561F" w14:textId="77777777" w:rsidR="00E35DD2" w:rsidRPr="00E35DD2" w:rsidRDefault="00E35DD2" w:rsidP="00E35DD2">
      <w:pPr>
        <w:rPr>
          <w:bCs/>
          <w:lang w:val="en-CA"/>
        </w:rPr>
      </w:pPr>
      <w:r w:rsidRPr="00E35DD2">
        <w:rPr>
          <w:bCs/>
          <w:lang w:val="en-CA"/>
        </w:rPr>
        <w:t>Two standard Photomultiplier Tubes (PMTs) for conventional fluorescence detection</w:t>
      </w:r>
    </w:p>
    <w:p w14:paraId="2D05A19B" w14:textId="77777777" w:rsidR="00E35DD2" w:rsidRPr="00E35DD2" w:rsidRDefault="00E35DD2" w:rsidP="00E35DD2">
      <w:pPr>
        <w:rPr>
          <w:bCs/>
          <w:lang w:val="en-CA"/>
        </w:rPr>
      </w:pPr>
    </w:p>
    <w:p w14:paraId="4C156F94" w14:textId="77777777" w:rsidR="00E35DD2" w:rsidRPr="00E35DD2" w:rsidRDefault="00E35DD2" w:rsidP="00E35DD2">
      <w:pPr>
        <w:rPr>
          <w:bCs/>
          <w:lang w:val="en-CA"/>
        </w:rPr>
      </w:pPr>
      <w:r w:rsidRPr="00E35DD2">
        <w:rPr>
          <w:bCs/>
          <w:lang w:val="en-CA"/>
        </w:rPr>
        <w:t>One transmitted light PMT detector coupled with a differential interference contrast (DIC) polarizer for transmitted light imaging</w:t>
      </w:r>
    </w:p>
    <w:p w14:paraId="6D666A69" w14:textId="77777777" w:rsidR="00E35DD2" w:rsidRPr="00E35DD2" w:rsidRDefault="00E35DD2" w:rsidP="00E35DD2">
      <w:pPr>
        <w:rPr>
          <w:bCs/>
          <w:lang w:val="en-CA"/>
        </w:rPr>
      </w:pPr>
    </w:p>
    <w:p w14:paraId="0D0D42B2" w14:textId="77777777" w:rsidR="00E35DD2" w:rsidRPr="00E35DD2" w:rsidRDefault="00E35DD2" w:rsidP="00E35DD2">
      <w:pPr>
        <w:rPr>
          <w:bCs/>
          <w:lang w:val="en-CA"/>
        </w:rPr>
      </w:pPr>
      <w:r w:rsidRPr="00E35DD2">
        <w:rPr>
          <w:bCs/>
          <w:lang w:val="en-CA"/>
        </w:rPr>
        <w:t>Spectral detection windows were set carefully to minimize crosstalk between fluorophores, examples:</w:t>
      </w:r>
    </w:p>
    <w:p w14:paraId="50C46694" w14:textId="77777777" w:rsidR="00E35DD2" w:rsidRPr="00E35DD2" w:rsidRDefault="00E35DD2" w:rsidP="00E35DD2">
      <w:pPr>
        <w:rPr>
          <w:bCs/>
          <w:lang w:val="en-CA"/>
        </w:rPr>
      </w:pPr>
    </w:p>
    <w:p w14:paraId="19A01349" w14:textId="77777777" w:rsidR="00E35DD2" w:rsidRPr="00E35DD2" w:rsidRDefault="00E35DD2" w:rsidP="00E35DD2">
      <w:pPr>
        <w:rPr>
          <w:bCs/>
          <w:lang w:val="en-CA"/>
        </w:rPr>
      </w:pPr>
      <w:r w:rsidRPr="00E35DD2">
        <w:rPr>
          <w:bCs/>
          <w:lang w:val="en-CA"/>
        </w:rPr>
        <w:lastRenderedPageBreak/>
        <w:t>Fluorochrome</w:t>
      </w:r>
      <w:r w:rsidRPr="00E35DD2">
        <w:rPr>
          <w:bCs/>
          <w:lang w:val="en-CA"/>
        </w:rPr>
        <w:tab/>
        <w:t>Excitation (nm)</w:t>
      </w:r>
      <w:r w:rsidRPr="00E35DD2">
        <w:rPr>
          <w:bCs/>
          <w:lang w:val="en-CA"/>
        </w:rPr>
        <w:tab/>
        <w:t>Emission Detection Range (nm)</w:t>
      </w:r>
    </w:p>
    <w:p w14:paraId="2D1090FE" w14:textId="77777777" w:rsidR="00E35DD2" w:rsidRPr="00E35DD2" w:rsidRDefault="00E35DD2" w:rsidP="00E35DD2">
      <w:pPr>
        <w:rPr>
          <w:bCs/>
          <w:lang w:val="en-CA"/>
        </w:rPr>
      </w:pPr>
      <w:r w:rsidRPr="00E35DD2">
        <w:rPr>
          <w:bCs/>
          <w:lang w:val="en-CA"/>
        </w:rPr>
        <w:t>Alexa Fluor 405</w:t>
      </w:r>
      <w:r w:rsidRPr="00E35DD2">
        <w:rPr>
          <w:bCs/>
          <w:lang w:val="en-CA"/>
        </w:rPr>
        <w:tab/>
        <w:t>405</w:t>
      </w:r>
      <w:r w:rsidRPr="00E35DD2">
        <w:rPr>
          <w:bCs/>
          <w:lang w:val="en-CA"/>
        </w:rPr>
        <w:tab/>
        <w:t>420–450</w:t>
      </w:r>
    </w:p>
    <w:p w14:paraId="6F971FF6" w14:textId="77777777" w:rsidR="00E35DD2" w:rsidRPr="00E35DD2" w:rsidRDefault="00E35DD2" w:rsidP="00E35DD2">
      <w:pPr>
        <w:rPr>
          <w:bCs/>
          <w:lang w:val="en-CA"/>
        </w:rPr>
      </w:pPr>
      <w:r w:rsidRPr="00E35DD2">
        <w:rPr>
          <w:bCs/>
          <w:lang w:val="en-CA"/>
        </w:rPr>
        <w:t>Alexa Fluor 488</w:t>
      </w:r>
      <w:r w:rsidRPr="00E35DD2">
        <w:rPr>
          <w:bCs/>
          <w:lang w:val="en-CA"/>
        </w:rPr>
        <w:tab/>
        <w:t>488</w:t>
      </w:r>
      <w:r w:rsidRPr="00E35DD2">
        <w:rPr>
          <w:bCs/>
          <w:lang w:val="en-CA"/>
        </w:rPr>
        <w:tab/>
        <w:t>500–540</w:t>
      </w:r>
    </w:p>
    <w:p w14:paraId="13B20958" w14:textId="77777777" w:rsidR="00E35DD2" w:rsidRPr="00E35DD2" w:rsidRDefault="00E35DD2" w:rsidP="00E35DD2">
      <w:pPr>
        <w:rPr>
          <w:bCs/>
          <w:lang w:val="en-CA"/>
        </w:rPr>
      </w:pPr>
      <w:r w:rsidRPr="00E35DD2">
        <w:rPr>
          <w:bCs/>
          <w:lang w:val="en-CA"/>
        </w:rPr>
        <w:t>Alexa Fluor 555</w:t>
      </w:r>
      <w:r w:rsidRPr="00E35DD2">
        <w:rPr>
          <w:bCs/>
          <w:lang w:val="en-CA"/>
        </w:rPr>
        <w:tab/>
        <w:t>561 (or 555)</w:t>
      </w:r>
      <w:r w:rsidRPr="00E35DD2">
        <w:rPr>
          <w:bCs/>
          <w:lang w:val="en-CA"/>
        </w:rPr>
        <w:tab/>
        <w:t>560–585</w:t>
      </w:r>
    </w:p>
    <w:p w14:paraId="301D3AE1" w14:textId="77777777" w:rsidR="00E35DD2" w:rsidRPr="00E35DD2" w:rsidRDefault="00E35DD2" w:rsidP="00E35DD2">
      <w:pPr>
        <w:rPr>
          <w:bCs/>
          <w:lang w:val="en-CA"/>
        </w:rPr>
      </w:pPr>
      <w:r w:rsidRPr="00E35DD2">
        <w:rPr>
          <w:bCs/>
          <w:lang w:val="en-CA"/>
        </w:rPr>
        <w:t>Alexa Fluor 594</w:t>
      </w:r>
      <w:r w:rsidRPr="00E35DD2">
        <w:rPr>
          <w:bCs/>
          <w:lang w:val="en-CA"/>
        </w:rPr>
        <w:tab/>
        <w:t>594</w:t>
      </w:r>
      <w:r w:rsidRPr="00E35DD2">
        <w:rPr>
          <w:bCs/>
          <w:lang w:val="en-CA"/>
        </w:rPr>
        <w:tab/>
        <w:t>600–630</w:t>
      </w:r>
    </w:p>
    <w:p w14:paraId="6C688F45" w14:textId="77777777" w:rsidR="00E35DD2" w:rsidRPr="00E35DD2" w:rsidRDefault="00E35DD2" w:rsidP="00E35DD2">
      <w:pPr>
        <w:rPr>
          <w:bCs/>
          <w:lang w:val="en-CA"/>
        </w:rPr>
      </w:pPr>
      <w:r w:rsidRPr="00E35DD2">
        <w:rPr>
          <w:bCs/>
          <w:lang w:val="en-CA"/>
        </w:rPr>
        <w:t>Alexa Fluor 647</w:t>
      </w:r>
      <w:r w:rsidRPr="00E35DD2">
        <w:rPr>
          <w:bCs/>
          <w:lang w:val="en-CA"/>
        </w:rPr>
        <w:tab/>
        <w:t>640</w:t>
      </w:r>
      <w:r w:rsidRPr="00E35DD2">
        <w:rPr>
          <w:bCs/>
          <w:lang w:val="en-CA"/>
        </w:rPr>
        <w:tab/>
        <w:t>660–700</w:t>
      </w:r>
    </w:p>
    <w:p w14:paraId="024D397D" w14:textId="77777777" w:rsidR="00E35DD2" w:rsidRPr="00E35DD2" w:rsidRDefault="00E35DD2" w:rsidP="00E35DD2">
      <w:pPr>
        <w:rPr>
          <w:bCs/>
          <w:lang w:val="en-CA"/>
        </w:rPr>
      </w:pPr>
      <w:r w:rsidRPr="00E35DD2">
        <w:rPr>
          <w:bCs/>
          <w:lang w:val="en-CA"/>
        </w:rPr>
        <w:t>Sequential scanning was employed during multi-color imaging to prevent spectral bleed-through and enable proper fluorophore detection.</w:t>
      </w:r>
    </w:p>
    <w:p w14:paraId="67A327C8" w14:textId="77777777" w:rsidR="00E35DD2" w:rsidRPr="00E35DD2" w:rsidRDefault="00E35DD2" w:rsidP="00E35DD2">
      <w:pPr>
        <w:rPr>
          <w:bCs/>
          <w:lang w:val="en-CA"/>
        </w:rPr>
      </w:pPr>
    </w:p>
    <w:p w14:paraId="793A0669" w14:textId="77777777" w:rsidR="00E35DD2" w:rsidRPr="00E35DD2" w:rsidRDefault="00E35DD2" w:rsidP="00E35DD2">
      <w:pPr>
        <w:rPr>
          <w:bCs/>
          <w:lang w:val="en-CA"/>
        </w:rPr>
      </w:pPr>
      <w:r w:rsidRPr="00E35DD2">
        <w:rPr>
          <w:bCs/>
          <w:lang w:val="en-CA"/>
        </w:rPr>
        <w:t>In STED imaging, time-gated detection was applied on the HyD detectors, with time gates typically set to 1.5–6.5 ns after excitation to reduce background and improve resolution.</w:t>
      </w:r>
    </w:p>
    <w:p w14:paraId="4214EA6C" w14:textId="77777777" w:rsidR="00E35DD2" w:rsidRPr="00E35DD2" w:rsidRDefault="00E35DD2" w:rsidP="00E35DD2">
      <w:pPr>
        <w:rPr>
          <w:bCs/>
          <w:lang w:val="en-CA"/>
        </w:rPr>
      </w:pPr>
    </w:p>
    <w:p w14:paraId="377209E0" w14:textId="77777777" w:rsidR="00E35DD2" w:rsidRPr="00E35DD2" w:rsidRDefault="00E35DD2" w:rsidP="00E35DD2">
      <w:pPr>
        <w:rPr>
          <w:bCs/>
          <w:lang w:val="en-CA"/>
        </w:rPr>
      </w:pPr>
      <w:r w:rsidRPr="00E35DD2">
        <w:rPr>
          <w:bCs/>
          <w:lang w:val="en-CA"/>
        </w:rPr>
        <w:t>Live-Cell Time-Lapse Imaging</w:t>
      </w:r>
    </w:p>
    <w:p w14:paraId="2CF1ABA5" w14:textId="77777777" w:rsidR="00E35DD2" w:rsidRPr="00E35DD2" w:rsidRDefault="00E35DD2" w:rsidP="00E35DD2">
      <w:pPr>
        <w:rPr>
          <w:bCs/>
          <w:lang w:val="en-CA"/>
        </w:rPr>
      </w:pPr>
      <w:r w:rsidRPr="00E35DD2">
        <w:rPr>
          <w:bCs/>
          <w:lang w:val="en-CA"/>
        </w:rPr>
        <w:t>Time-lapse imaging was performed with environmental conditions maintained by a motorized stage and enclosed incubation system (37°C, 5% CO₂, humidified atmosphere).</w:t>
      </w:r>
    </w:p>
    <w:p w14:paraId="4E52A78A" w14:textId="77777777" w:rsidR="00E35DD2" w:rsidRPr="00E35DD2" w:rsidRDefault="00E35DD2" w:rsidP="00E35DD2">
      <w:pPr>
        <w:rPr>
          <w:bCs/>
          <w:lang w:val="en-CA"/>
        </w:rPr>
      </w:pPr>
    </w:p>
    <w:p w14:paraId="53F247BA" w14:textId="77777777" w:rsidR="00E35DD2" w:rsidRPr="00E35DD2" w:rsidRDefault="00E35DD2" w:rsidP="00E35DD2">
      <w:pPr>
        <w:rPr>
          <w:bCs/>
          <w:lang w:val="en-CA"/>
        </w:rPr>
      </w:pPr>
      <w:r w:rsidRPr="00E35DD2">
        <w:rPr>
          <w:bCs/>
          <w:lang w:val="en-CA"/>
        </w:rPr>
        <w:t>Dynamic series of images (50 frames) were acquired continuously in confocal or STED modes with variable dwell times (approximately 1.5, 2.5, and 5 µs per pixel) to evaluate fluorescence signal stability and photobleaching during prolonged imaging.</w:t>
      </w:r>
    </w:p>
    <w:p w14:paraId="10B6884F" w14:textId="77777777" w:rsidR="00E35DD2" w:rsidRPr="00E35DD2" w:rsidRDefault="00E35DD2" w:rsidP="00E35DD2">
      <w:pPr>
        <w:rPr>
          <w:bCs/>
          <w:lang w:val="en-CA"/>
        </w:rPr>
      </w:pPr>
    </w:p>
    <w:p w14:paraId="4597FB17" w14:textId="77777777" w:rsidR="00E35DD2" w:rsidRPr="00E35DD2" w:rsidRDefault="00E35DD2" w:rsidP="00E35DD2">
      <w:pPr>
        <w:rPr>
          <w:bCs/>
          <w:lang w:val="en-CA"/>
        </w:rPr>
      </w:pPr>
      <w:r w:rsidRPr="00E35DD2">
        <w:rPr>
          <w:bCs/>
          <w:lang w:val="en-CA"/>
        </w:rPr>
        <w:t>Image Processing and Quantitative Analysis</w:t>
      </w:r>
    </w:p>
    <w:p w14:paraId="72888AA1" w14:textId="77777777" w:rsidR="00E35DD2" w:rsidRPr="00E35DD2" w:rsidRDefault="00E35DD2" w:rsidP="00E35DD2">
      <w:pPr>
        <w:rPr>
          <w:bCs/>
          <w:lang w:val="en-CA"/>
        </w:rPr>
      </w:pPr>
      <w:r w:rsidRPr="00E35DD2">
        <w:rPr>
          <w:bCs/>
          <w:lang w:val="en-CA"/>
        </w:rPr>
        <w:t>Image datasets were initially visualized and processed using Leica LAS X software for 3D rendering, Z-projections, and basic corrections.</w:t>
      </w:r>
    </w:p>
    <w:p w14:paraId="7B3B2431" w14:textId="77777777" w:rsidR="00E35DD2" w:rsidRPr="00E35DD2" w:rsidRDefault="00E35DD2" w:rsidP="00E35DD2">
      <w:pPr>
        <w:rPr>
          <w:bCs/>
          <w:lang w:val="en-CA"/>
        </w:rPr>
      </w:pPr>
    </w:p>
    <w:p w14:paraId="26E8669C" w14:textId="77777777" w:rsidR="00E35DD2" w:rsidRPr="00E35DD2" w:rsidRDefault="00E35DD2" w:rsidP="00E35DD2">
      <w:pPr>
        <w:rPr>
          <w:bCs/>
          <w:lang w:val="en-CA"/>
        </w:rPr>
      </w:pPr>
      <w:r w:rsidRPr="00E35DD2">
        <w:rPr>
          <w:bCs/>
          <w:lang w:val="en-CA"/>
        </w:rPr>
        <w:t>Quantitative analyses, including fluorescence intensity measurements and colocalization metrics, were conducted using Fiji/ImageJ software with the “Colocalization Finder” plugin for pixel overlap quantification.</w:t>
      </w:r>
    </w:p>
    <w:p w14:paraId="3CB53D6C" w14:textId="77777777" w:rsidR="00E35DD2" w:rsidRPr="00E35DD2" w:rsidRDefault="00E35DD2" w:rsidP="00E35DD2">
      <w:pPr>
        <w:rPr>
          <w:bCs/>
          <w:lang w:val="en-CA"/>
        </w:rPr>
      </w:pPr>
    </w:p>
    <w:p w14:paraId="10022E68" w14:textId="77777777" w:rsidR="00E35DD2" w:rsidRPr="00E35DD2" w:rsidRDefault="00E35DD2" w:rsidP="00E35DD2">
      <w:pPr>
        <w:rPr>
          <w:bCs/>
          <w:lang w:val="en-CA"/>
        </w:rPr>
      </w:pPr>
      <w:r w:rsidRPr="00E35DD2">
        <w:rPr>
          <w:bCs/>
          <w:lang w:val="en-CA"/>
        </w:rPr>
        <w:t>Fluorescence intensity profiles, intensity change curves, and colocalization coefficients were plotted and statistically analyzed in OriginPro 2023b or equivalent statistical software.</w:t>
      </w:r>
    </w:p>
    <w:p w14:paraId="3EBAFAE9" w14:textId="77777777" w:rsidR="00E35DD2" w:rsidRPr="00E35DD2" w:rsidRDefault="00E35DD2" w:rsidP="00E35DD2">
      <w:pPr>
        <w:rPr>
          <w:bCs/>
          <w:lang w:val="en-CA"/>
        </w:rPr>
      </w:pPr>
    </w:p>
    <w:p w14:paraId="2638A027" w14:textId="77777777" w:rsidR="00E35DD2" w:rsidRPr="00E35DD2" w:rsidRDefault="00E35DD2" w:rsidP="00E35DD2">
      <w:pPr>
        <w:rPr>
          <w:bCs/>
          <w:lang w:val="en-CA"/>
        </w:rPr>
      </w:pPr>
      <w:r w:rsidRPr="00E35DD2">
        <w:rPr>
          <w:bCs/>
          <w:lang w:val="en-CA"/>
        </w:rPr>
        <w:t>Data represent averages ± standard error (SE) from at least five cells per experimental condition, with experiments independently repeated at least three times.</w:t>
      </w:r>
    </w:p>
    <w:p w14:paraId="6564B409" w14:textId="77777777" w:rsidR="00E35DD2" w:rsidRPr="00E35DD2" w:rsidRDefault="00E35DD2" w:rsidP="00E35DD2">
      <w:pPr>
        <w:rPr>
          <w:bCs/>
          <w:lang w:val="en-CA"/>
        </w:rPr>
      </w:pPr>
    </w:p>
    <w:p w14:paraId="635B9C20" w14:textId="77777777" w:rsidR="00E35DD2" w:rsidRPr="00E35DD2" w:rsidRDefault="00E35DD2" w:rsidP="00E35DD2">
      <w:pPr>
        <w:rPr>
          <w:bCs/>
          <w:lang w:val="en-CA"/>
        </w:rPr>
      </w:pPr>
      <w:r w:rsidRPr="00E35DD2">
        <w:rPr>
          <w:bCs/>
          <w:lang w:val="en-CA"/>
        </w:rPr>
        <w:t>Statistical significance was determined using two-sided Student’s t-tests or ANOVA, with a significance threshold of p &lt; 0.05.</w:t>
      </w:r>
    </w:p>
    <w:p w14:paraId="4C81762E" w14:textId="77777777" w:rsidR="00E35DD2" w:rsidRPr="00E35DD2" w:rsidRDefault="00E35DD2" w:rsidP="00E35DD2">
      <w:pPr>
        <w:rPr>
          <w:bCs/>
          <w:lang w:val="en-CA"/>
        </w:rPr>
      </w:pPr>
    </w:p>
    <w:p w14:paraId="11AF7BAD" w14:textId="1D9F9489" w:rsidR="00F3659D" w:rsidRPr="00E35DD2" w:rsidRDefault="00E35DD2" w:rsidP="00E35DD2">
      <w:pPr>
        <w:rPr>
          <w:bCs/>
          <w:lang w:val="en-CA"/>
        </w:rPr>
      </w:pPr>
      <w:r w:rsidRPr="00E35DD2">
        <w:rPr>
          <w:bCs/>
          <w:lang w:val="en-CA"/>
        </w:rPr>
        <w:t>Image adjustments for brightness and contrast were applied linearly and consistently across samples to preserve quantitative integrity.</w:t>
      </w:r>
    </w:p>
    <w:sectPr w:rsidR="00F3659D" w:rsidRPr="00E35DD2" w:rsidSect="00CC2A6A">
      <w:footerReference w:type="even" r:id="rId7"/>
      <w:footerReference w:type="default" r:id="rId8"/>
      <w:pgSz w:w="12240" w:h="15840"/>
      <w:pgMar w:top="567"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ED1E0" w14:textId="77777777" w:rsidR="00F178DA" w:rsidRDefault="00F178DA">
      <w:r>
        <w:separator/>
      </w:r>
    </w:p>
  </w:endnote>
  <w:endnote w:type="continuationSeparator" w:id="0">
    <w:p w14:paraId="3BEE3C6B" w14:textId="77777777" w:rsidR="00F178DA" w:rsidRDefault="00F1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175F8" w14:textId="77777777" w:rsidR="001C5300" w:rsidRDefault="001C53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57763F" w14:textId="77777777" w:rsidR="001C5300" w:rsidRDefault="001C5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84CF4" w14:textId="77777777" w:rsidR="001C5300" w:rsidRDefault="001C53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45A7">
      <w:rPr>
        <w:rStyle w:val="PageNumber"/>
        <w:noProof/>
      </w:rPr>
      <w:t>1</w:t>
    </w:r>
    <w:r>
      <w:rPr>
        <w:rStyle w:val="PageNumber"/>
      </w:rPr>
      <w:fldChar w:fldCharType="end"/>
    </w:r>
  </w:p>
  <w:p w14:paraId="424D2487" w14:textId="77777777" w:rsidR="001C5300" w:rsidRDefault="001C5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A66C1" w14:textId="77777777" w:rsidR="00F178DA" w:rsidRDefault="00F178DA">
      <w:r>
        <w:separator/>
      </w:r>
    </w:p>
  </w:footnote>
  <w:footnote w:type="continuationSeparator" w:id="0">
    <w:p w14:paraId="0F83CF27" w14:textId="77777777" w:rsidR="00F178DA" w:rsidRDefault="00F1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C6522"/>
    <w:multiLevelType w:val="hybridMultilevel"/>
    <w:tmpl w:val="7DCA5178"/>
    <w:lvl w:ilvl="0" w:tplc="8DF2201E">
      <w:start w:val="1"/>
      <w:numFmt w:val="lowerRoman"/>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 w15:restartNumberingAfterBreak="0">
    <w:nsid w:val="229262D5"/>
    <w:multiLevelType w:val="multilevel"/>
    <w:tmpl w:val="A864732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259F08AE"/>
    <w:multiLevelType w:val="hybridMultilevel"/>
    <w:tmpl w:val="62FAA17C"/>
    <w:lvl w:ilvl="0" w:tplc="A4B8A634">
      <w:start w:val="1"/>
      <w:numFmt w:val="lowerRoman"/>
      <w:lvlText w:val="%1)"/>
      <w:lvlJc w:val="left"/>
      <w:pPr>
        <w:tabs>
          <w:tab w:val="num" w:pos="1080"/>
        </w:tabs>
        <w:ind w:left="1080" w:hanging="720"/>
      </w:pPr>
      <w:rPr>
        <w:rFonts w:hint="default"/>
      </w:rPr>
    </w:lvl>
    <w:lvl w:ilvl="1" w:tplc="A410A764">
      <w:start w:val="1"/>
      <w:numFmt w:val="decimal"/>
      <w:lvlText w:val="%2)"/>
      <w:lvlJc w:val="left"/>
      <w:pPr>
        <w:tabs>
          <w:tab w:val="num" w:pos="1455"/>
        </w:tabs>
        <w:ind w:left="1455" w:hanging="375"/>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6D0515D4"/>
    <w:multiLevelType w:val="hybridMultilevel"/>
    <w:tmpl w:val="42226328"/>
    <w:lvl w:ilvl="0" w:tplc="2C88AB5A">
      <w:start w:val="1"/>
      <w:numFmt w:val="lowerRoman"/>
      <w:lvlText w:val="%1)"/>
      <w:lvlJc w:val="left"/>
      <w:pPr>
        <w:tabs>
          <w:tab w:val="num" w:pos="1080"/>
        </w:tabs>
        <w:ind w:left="108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330525647">
    <w:abstractNumId w:val="2"/>
  </w:num>
  <w:num w:numId="2" w16cid:durableId="1812208837">
    <w:abstractNumId w:val="3"/>
  </w:num>
  <w:num w:numId="3" w16cid:durableId="205028442">
    <w:abstractNumId w:val="0"/>
  </w:num>
  <w:num w:numId="4" w16cid:durableId="1103842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8C"/>
    <w:rsid w:val="00094E3D"/>
    <w:rsid w:val="000B7D85"/>
    <w:rsid w:val="00142CE2"/>
    <w:rsid w:val="001853C9"/>
    <w:rsid w:val="001A24B9"/>
    <w:rsid w:val="001A58DC"/>
    <w:rsid w:val="001C5300"/>
    <w:rsid w:val="001D778C"/>
    <w:rsid w:val="00207046"/>
    <w:rsid w:val="00233988"/>
    <w:rsid w:val="00245707"/>
    <w:rsid w:val="00317F6F"/>
    <w:rsid w:val="00325024"/>
    <w:rsid w:val="00387E0A"/>
    <w:rsid w:val="003D4220"/>
    <w:rsid w:val="003E5BB4"/>
    <w:rsid w:val="003F4C07"/>
    <w:rsid w:val="00440CA9"/>
    <w:rsid w:val="00483782"/>
    <w:rsid w:val="004C7B7F"/>
    <w:rsid w:val="005D7720"/>
    <w:rsid w:val="006A3D9E"/>
    <w:rsid w:val="006F6637"/>
    <w:rsid w:val="0072413E"/>
    <w:rsid w:val="00724AF9"/>
    <w:rsid w:val="008B61DC"/>
    <w:rsid w:val="008D2F71"/>
    <w:rsid w:val="00A0653C"/>
    <w:rsid w:val="00A10331"/>
    <w:rsid w:val="00A75840"/>
    <w:rsid w:val="00B659C9"/>
    <w:rsid w:val="00B9088F"/>
    <w:rsid w:val="00BA4044"/>
    <w:rsid w:val="00BD5174"/>
    <w:rsid w:val="00C93104"/>
    <w:rsid w:val="00C96882"/>
    <w:rsid w:val="00CA1D84"/>
    <w:rsid w:val="00CC2A6A"/>
    <w:rsid w:val="00DE7E44"/>
    <w:rsid w:val="00E11255"/>
    <w:rsid w:val="00E23941"/>
    <w:rsid w:val="00E35DD2"/>
    <w:rsid w:val="00F178DA"/>
    <w:rsid w:val="00F245A7"/>
    <w:rsid w:val="00F3659D"/>
    <w:rsid w:val="00F57E95"/>
    <w:rsid w:val="00FA3AF9"/>
    <w:rsid w:val="00FC3DA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5A37116"/>
  <w14:defaultImageDpi w14:val="300"/>
  <w15:docId w15:val="{1F4C94E8-DCDF-B84E-BE7C-F712DCD5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CA" w:eastAsia="fr-CA"/>
    </w:rPr>
  </w:style>
  <w:style w:type="paragraph" w:styleId="Heading1">
    <w:name w:val="heading 1"/>
    <w:basedOn w:val="Normal"/>
    <w:next w:val="Normal"/>
    <w:qFormat/>
    <w:pPr>
      <w:keepNext/>
      <w:numPr>
        <w:numId w:val="4"/>
      </w:numPr>
      <w:spacing w:before="240" w:after="60" w:line="720" w:lineRule="auto"/>
      <w:jc w:val="both"/>
      <w:outlineLvl w:val="0"/>
    </w:pPr>
    <w:rPr>
      <w:b/>
      <w:kern w:val="32"/>
    </w:rPr>
  </w:style>
  <w:style w:type="paragraph" w:styleId="Heading2">
    <w:name w:val="heading 2"/>
    <w:basedOn w:val="Normal"/>
    <w:next w:val="Normal"/>
    <w:qFormat/>
    <w:pPr>
      <w:keepNext/>
      <w:numPr>
        <w:ilvl w:val="1"/>
        <w:numId w:val="4"/>
      </w:numPr>
      <w:spacing w:before="240" w:after="60" w:line="720" w:lineRule="auto"/>
      <w:jc w:val="both"/>
      <w:outlineLvl w:val="1"/>
    </w:pPr>
    <w:rPr>
      <w:b/>
      <w:snapToGrid w:val="0"/>
      <w:lang w:val="en-US"/>
    </w:rPr>
  </w:style>
  <w:style w:type="paragraph" w:styleId="Heading3">
    <w:name w:val="heading 3"/>
    <w:basedOn w:val="Normal"/>
    <w:next w:val="Normal"/>
    <w:qFormat/>
    <w:pPr>
      <w:keepNext/>
      <w:numPr>
        <w:ilvl w:val="2"/>
        <w:numId w:val="4"/>
      </w:numPr>
      <w:spacing w:before="240" w:after="60" w:line="720" w:lineRule="auto"/>
      <w:jc w:val="both"/>
      <w:outlineLvl w:val="2"/>
    </w:pPr>
    <w:rPr>
      <w:b/>
      <w:snapToGrid w:val="0"/>
    </w:rPr>
  </w:style>
  <w:style w:type="paragraph" w:styleId="Heading4">
    <w:name w:val="heading 4"/>
    <w:basedOn w:val="Normal"/>
    <w:next w:val="Normal"/>
    <w:qFormat/>
    <w:pPr>
      <w:keepNext/>
      <w:spacing w:line="360" w:lineRule="auto"/>
      <w:jc w:val="center"/>
      <w:outlineLvl w:val="3"/>
    </w:pPr>
    <w:rPr>
      <w:rFonts w:ascii="New York" w:hAnsi="New York"/>
      <w:b/>
      <w:color w:val="000000"/>
      <w:lang w:val="en-US"/>
    </w:rPr>
  </w:style>
  <w:style w:type="paragraph" w:styleId="Heading5">
    <w:name w:val="heading 5"/>
    <w:basedOn w:val="Normal"/>
    <w:next w:val="Normal"/>
    <w:qFormat/>
    <w:pPr>
      <w:keepNext/>
      <w:spacing w:line="360" w:lineRule="auto"/>
      <w:jc w:val="center"/>
      <w:outlineLvl w:val="4"/>
    </w:pPr>
    <w:rPr>
      <w:rFonts w:ascii="New York" w:hAnsi="New Yor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
    <w:name w:val="Body Text"/>
    <w:basedOn w:val="Normal"/>
    <w:pPr>
      <w:jc w:val="both"/>
    </w:pPr>
    <w:rPr>
      <w:rFonts w:ascii="New York" w:hAnsi="New York"/>
      <w:lang w:val="en-US"/>
    </w:rPr>
  </w:style>
  <w:style w:type="paragraph" w:styleId="BodyTextIndent">
    <w:name w:val="Body Text Indent"/>
    <w:basedOn w:val="Normal"/>
    <w:pPr>
      <w:spacing w:line="360" w:lineRule="auto"/>
      <w:ind w:firstLine="708"/>
      <w:jc w:val="both"/>
    </w:pPr>
    <w:rPr>
      <w:rFonts w:ascii="New York" w:hAnsi="New York"/>
      <w:lang w:val="en-US"/>
    </w:rPr>
  </w:style>
  <w:style w:type="character" w:styleId="Hyperlink">
    <w:name w:val="Hyperlink"/>
    <w:rsid w:val="007F72B8"/>
    <w:rPr>
      <w:color w:val="0000FF"/>
      <w:u w:val="single"/>
    </w:rPr>
  </w:style>
  <w:style w:type="character" w:styleId="FollowedHyperlink">
    <w:name w:val="FollowedHyperlink"/>
    <w:rsid w:val="007F72B8"/>
    <w:rPr>
      <w:color w:val="800080"/>
      <w:u w:val="single"/>
    </w:rPr>
  </w:style>
  <w:style w:type="character" w:styleId="PlaceholderText">
    <w:name w:val="Placeholder Text"/>
    <w:basedOn w:val="DefaultParagraphFont"/>
    <w:uiPriority w:val="99"/>
    <w:semiHidden/>
    <w:rsid w:val="00A10331"/>
    <w:rPr>
      <w:color w:val="808080"/>
    </w:rPr>
  </w:style>
  <w:style w:type="paragraph" w:styleId="BalloonText">
    <w:name w:val="Balloon Text"/>
    <w:basedOn w:val="Normal"/>
    <w:link w:val="BalloonTextChar"/>
    <w:uiPriority w:val="99"/>
    <w:semiHidden/>
    <w:unhideWhenUsed/>
    <w:rsid w:val="00A103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331"/>
    <w:rPr>
      <w:rFonts w:ascii="Lucida Grande" w:hAnsi="Lucida Grande" w:cs="Lucida Grande"/>
      <w:sz w:val="18"/>
      <w:szCs w:val="18"/>
      <w:lang w:val="fr-CA" w:eastAsia="fr-CA"/>
    </w:rPr>
  </w:style>
  <w:style w:type="paragraph" w:styleId="NormalWeb">
    <w:name w:val="Normal (Web)"/>
    <w:basedOn w:val="Normal"/>
    <w:uiPriority w:val="99"/>
    <w:semiHidden/>
    <w:unhideWhenUsed/>
    <w:rsid w:val="00387E0A"/>
    <w:pPr>
      <w:spacing w:before="100" w:beforeAutospacing="1" w:after="100" w:afterAutospacing="1"/>
    </w:pPr>
    <w:rPr>
      <w:rFonts w:ascii="Times" w:hAnsi="Times"/>
      <w:sz w:val="20"/>
      <w:szCs w:val="20"/>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7457">
      <w:bodyDiv w:val="1"/>
      <w:marLeft w:val="0"/>
      <w:marRight w:val="0"/>
      <w:marTop w:val="0"/>
      <w:marBottom w:val="0"/>
      <w:divBdr>
        <w:top w:val="none" w:sz="0" w:space="0" w:color="auto"/>
        <w:left w:val="none" w:sz="0" w:space="0" w:color="auto"/>
        <w:bottom w:val="none" w:sz="0" w:space="0" w:color="auto"/>
        <w:right w:val="none" w:sz="0" w:space="0" w:color="auto"/>
      </w:divBdr>
      <w:divsChild>
        <w:div w:id="689599326">
          <w:marLeft w:val="0"/>
          <w:marRight w:val="0"/>
          <w:marTop w:val="0"/>
          <w:marBottom w:val="0"/>
          <w:divBdr>
            <w:top w:val="none" w:sz="0" w:space="0" w:color="auto"/>
            <w:left w:val="none" w:sz="0" w:space="0" w:color="auto"/>
            <w:bottom w:val="none" w:sz="0" w:space="0" w:color="auto"/>
            <w:right w:val="none" w:sz="0" w:space="0" w:color="auto"/>
          </w:divBdr>
          <w:divsChild>
            <w:div w:id="1795783356">
              <w:marLeft w:val="0"/>
              <w:marRight w:val="0"/>
              <w:marTop w:val="0"/>
              <w:marBottom w:val="0"/>
              <w:divBdr>
                <w:top w:val="none" w:sz="0" w:space="0" w:color="auto"/>
                <w:left w:val="none" w:sz="0" w:space="0" w:color="auto"/>
                <w:bottom w:val="none" w:sz="0" w:space="0" w:color="auto"/>
                <w:right w:val="none" w:sz="0" w:space="0" w:color="auto"/>
              </w:divBdr>
              <w:divsChild>
                <w:div w:id="14317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7602">
      <w:bodyDiv w:val="1"/>
      <w:marLeft w:val="0"/>
      <w:marRight w:val="0"/>
      <w:marTop w:val="0"/>
      <w:marBottom w:val="0"/>
      <w:divBdr>
        <w:top w:val="none" w:sz="0" w:space="0" w:color="auto"/>
        <w:left w:val="none" w:sz="0" w:space="0" w:color="auto"/>
        <w:bottom w:val="none" w:sz="0" w:space="0" w:color="auto"/>
        <w:right w:val="none" w:sz="0" w:space="0" w:color="auto"/>
      </w:divBdr>
      <w:divsChild>
        <w:div w:id="106631704">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0"/>
              <w:divBdr>
                <w:top w:val="none" w:sz="0" w:space="0" w:color="auto"/>
                <w:left w:val="none" w:sz="0" w:space="0" w:color="auto"/>
                <w:bottom w:val="none" w:sz="0" w:space="0" w:color="auto"/>
                <w:right w:val="none" w:sz="0" w:space="0" w:color="auto"/>
              </w:divBdr>
              <w:divsChild>
                <w:div w:id="1641420606">
                  <w:marLeft w:val="0"/>
                  <w:marRight w:val="0"/>
                  <w:marTop w:val="0"/>
                  <w:marBottom w:val="0"/>
                  <w:divBdr>
                    <w:top w:val="none" w:sz="0" w:space="0" w:color="auto"/>
                    <w:left w:val="none" w:sz="0" w:space="0" w:color="auto"/>
                    <w:bottom w:val="none" w:sz="0" w:space="0" w:color="auto"/>
                    <w:right w:val="none" w:sz="0" w:space="0" w:color="auto"/>
                  </w:divBdr>
                  <w:divsChild>
                    <w:div w:id="9857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7130">
      <w:bodyDiv w:val="1"/>
      <w:marLeft w:val="0"/>
      <w:marRight w:val="0"/>
      <w:marTop w:val="0"/>
      <w:marBottom w:val="0"/>
      <w:divBdr>
        <w:top w:val="none" w:sz="0" w:space="0" w:color="auto"/>
        <w:left w:val="none" w:sz="0" w:space="0" w:color="auto"/>
        <w:bottom w:val="none" w:sz="0" w:space="0" w:color="auto"/>
        <w:right w:val="none" w:sz="0" w:space="0" w:color="auto"/>
      </w:divBdr>
      <w:divsChild>
        <w:div w:id="1480994297">
          <w:marLeft w:val="0"/>
          <w:marRight w:val="0"/>
          <w:marTop w:val="0"/>
          <w:marBottom w:val="0"/>
          <w:divBdr>
            <w:top w:val="none" w:sz="0" w:space="0" w:color="auto"/>
            <w:left w:val="none" w:sz="0" w:space="0" w:color="auto"/>
            <w:bottom w:val="none" w:sz="0" w:space="0" w:color="auto"/>
            <w:right w:val="none" w:sz="0" w:space="0" w:color="auto"/>
          </w:divBdr>
          <w:divsChild>
            <w:div w:id="1205365676">
              <w:marLeft w:val="0"/>
              <w:marRight w:val="0"/>
              <w:marTop w:val="0"/>
              <w:marBottom w:val="0"/>
              <w:divBdr>
                <w:top w:val="none" w:sz="0" w:space="0" w:color="auto"/>
                <w:left w:val="none" w:sz="0" w:space="0" w:color="auto"/>
                <w:bottom w:val="none" w:sz="0" w:space="0" w:color="auto"/>
                <w:right w:val="none" w:sz="0" w:space="0" w:color="auto"/>
              </w:divBdr>
              <w:divsChild>
                <w:div w:id="1509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8955">
      <w:bodyDiv w:val="1"/>
      <w:marLeft w:val="0"/>
      <w:marRight w:val="0"/>
      <w:marTop w:val="0"/>
      <w:marBottom w:val="0"/>
      <w:divBdr>
        <w:top w:val="none" w:sz="0" w:space="0" w:color="auto"/>
        <w:left w:val="none" w:sz="0" w:space="0" w:color="auto"/>
        <w:bottom w:val="none" w:sz="0" w:space="0" w:color="auto"/>
        <w:right w:val="none" w:sz="0" w:space="0" w:color="auto"/>
      </w:divBdr>
      <w:divsChild>
        <w:div w:id="1048921688">
          <w:marLeft w:val="0"/>
          <w:marRight w:val="0"/>
          <w:marTop w:val="0"/>
          <w:marBottom w:val="0"/>
          <w:divBdr>
            <w:top w:val="none" w:sz="0" w:space="0" w:color="auto"/>
            <w:left w:val="none" w:sz="0" w:space="0" w:color="auto"/>
            <w:bottom w:val="none" w:sz="0" w:space="0" w:color="auto"/>
            <w:right w:val="none" w:sz="0" w:space="0" w:color="auto"/>
          </w:divBdr>
          <w:divsChild>
            <w:div w:id="876045200">
              <w:marLeft w:val="0"/>
              <w:marRight w:val="0"/>
              <w:marTop w:val="0"/>
              <w:marBottom w:val="0"/>
              <w:divBdr>
                <w:top w:val="none" w:sz="0" w:space="0" w:color="auto"/>
                <w:left w:val="none" w:sz="0" w:space="0" w:color="auto"/>
                <w:bottom w:val="none" w:sz="0" w:space="0" w:color="auto"/>
                <w:right w:val="none" w:sz="0" w:space="0" w:color="auto"/>
              </w:divBdr>
              <w:divsChild>
                <w:div w:id="2130317925">
                  <w:marLeft w:val="0"/>
                  <w:marRight w:val="0"/>
                  <w:marTop w:val="0"/>
                  <w:marBottom w:val="0"/>
                  <w:divBdr>
                    <w:top w:val="none" w:sz="0" w:space="0" w:color="auto"/>
                    <w:left w:val="none" w:sz="0" w:space="0" w:color="auto"/>
                    <w:bottom w:val="none" w:sz="0" w:space="0" w:color="auto"/>
                    <w:right w:val="none" w:sz="0" w:space="0" w:color="auto"/>
                  </w:divBdr>
                  <w:divsChild>
                    <w:div w:id="16587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5991">
      <w:bodyDiv w:val="1"/>
      <w:marLeft w:val="0"/>
      <w:marRight w:val="0"/>
      <w:marTop w:val="0"/>
      <w:marBottom w:val="0"/>
      <w:divBdr>
        <w:top w:val="none" w:sz="0" w:space="0" w:color="auto"/>
        <w:left w:val="none" w:sz="0" w:space="0" w:color="auto"/>
        <w:bottom w:val="none" w:sz="0" w:space="0" w:color="auto"/>
        <w:right w:val="none" w:sz="0" w:space="0" w:color="auto"/>
      </w:divBdr>
      <w:divsChild>
        <w:div w:id="1398893647">
          <w:marLeft w:val="0"/>
          <w:marRight w:val="0"/>
          <w:marTop w:val="0"/>
          <w:marBottom w:val="0"/>
          <w:divBdr>
            <w:top w:val="none" w:sz="0" w:space="0" w:color="auto"/>
            <w:left w:val="none" w:sz="0" w:space="0" w:color="auto"/>
            <w:bottom w:val="none" w:sz="0" w:space="0" w:color="auto"/>
            <w:right w:val="none" w:sz="0" w:space="0" w:color="auto"/>
          </w:divBdr>
          <w:divsChild>
            <w:div w:id="1318916766">
              <w:marLeft w:val="0"/>
              <w:marRight w:val="0"/>
              <w:marTop w:val="0"/>
              <w:marBottom w:val="0"/>
              <w:divBdr>
                <w:top w:val="none" w:sz="0" w:space="0" w:color="auto"/>
                <w:left w:val="none" w:sz="0" w:space="0" w:color="auto"/>
                <w:bottom w:val="none" w:sz="0" w:space="0" w:color="auto"/>
                <w:right w:val="none" w:sz="0" w:space="0" w:color="auto"/>
              </w:divBdr>
              <w:divsChild>
                <w:div w:id="11332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08124">
      <w:bodyDiv w:val="1"/>
      <w:marLeft w:val="0"/>
      <w:marRight w:val="0"/>
      <w:marTop w:val="0"/>
      <w:marBottom w:val="0"/>
      <w:divBdr>
        <w:top w:val="none" w:sz="0" w:space="0" w:color="auto"/>
        <w:left w:val="none" w:sz="0" w:space="0" w:color="auto"/>
        <w:bottom w:val="none" w:sz="0" w:space="0" w:color="auto"/>
        <w:right w:val="none" w:sz="0" w:space="0" w:color="auto"/>
      </w:divBdr>
      <w:divsChild>
        <w:div w:id="941033241">
          <w:marLeft w:val="0"/>
          <w:marRight w:val="0"/>
          <w:marTop w:val="0"/>
          <w:marBottom w:val="0"/>
          <w:divBdr>
            <w:top w:val="none" w:sz="0" w:space="0" w:color="auto"/>
            <w:left w:val="none" w:sz="0" w:space="0" w:color="auto"/>
            <w:bottom w:val="none" w:sz="0" w:space="0" w:color="auto"/>
            <w:right w:val="none" w:sz="0" w:space="0" w:color="auto"/>
          </w:divBdr>
          <w:divsChild>
            <w:div w:id="605428522">
              <w:marLeft w:val="0"/>
              <w:marRight w:val="0"/>
              <w:marTop w:val="0"/>
              <w:marBottom w:val="0"/>
              <w:divBdr>
                <w:top w:val="none" w:sz="0" w:space="0" w:color="auto"/>
                <w:left w:val="none" w:sz="0" w:space="0" w:color="auto"/>
                <w:bottom w:val="none" w:sz="0" w:space="0" w:color="auto"/>
                <w:right w:val="none" w:sz="0" w:space="0" w:color="auto"/>
              </w:divBdr>
              <w:divsChild>
                <w:div w:id="798954568">
                  <w:marLeft w:val="0"/>
                  <w:marRight w:val="0"/>
                  <w:marTop w:val="0"/>
                  <w:marBottom w:val="0"/>
                  <w:divBdr>
                    <w:top w:val="none" w:sz="0" w:space="0" w:color="auto"/>
                    <w:left w:val="none" w:sz="0" w:space="0" w:color="auto"/>
                    <w:bottom w:val="none" w:sz="0" w:space="0" w:color="auto"/>
                    <w:right w:val="none" w:sz="0" w:space="0" w:color="auto"/>
                  </w:divBdr>
                  <w:divsChild>
                    <w:div w:id="908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5680">
      <w:bodyDiv w:val="1"/>
      <w:marLeft w:val="0"/>
      <w:marRight w:val="0"/>
      <w:marTop w:val="0"/>
      <w:marBottom w:val="0"/>
      <w:divBdr>
        <w:top w:val="none" w:sz="0" w:space="0" w:color="auto"/>
        <w:left w:val="none" w:sz="0" w:space="0" w:color="auto"/>
        <w:bottom w:val="none" w:sz="0" w:space="0" w:color="auto"/>
        <w:right w:val="none" w:sz="0" w:space="0" w:color="auto"/>
      </w:divBdr>
      <w:divsChild>
        <w:div w:id="320013618">
          <w:marLeft w:val="0"/>
          <w:marRight w:val="0"/>
          <w:marTop w:val="0"/>
          <w:marBottom w:val="0"/>
          <w:divBdr>
            <w:top w:val="none" w:sz="0" w:space="0" w:color="auto"/>
            <w:left w:val="none" w:sz="0" w:space="0" w:color="auto"/>
            <w:bottom w:val="none" w:sz="0" w:space="0" w:color="auto"/>
            <w:right w:val="none" w:sz="0" w:space="0" w:color="auto"/>
          </w:divBdr>
          <w:divsChild>
            <w:div w:id="1969049920">
              <w:marLeft w:val="0"/>
              <w:marRight w:val="0"/>
              <w:marTop w:val="0"/>
              <w:marBottom w:val="0"/>
              <w:divBdr>
                <w:top w:val="none" w:sz="0" w:space="0" w:color="auto"/>
                <w:left w:val="none" w:sz="0" w:space="0" w:color="auto"/>
                <w:bottom w:val="none" w:sz="0" w:space="0" w:color="auto"/>
                <w:right w:val="none" w:sz="0" w:space="0" w:color="auto"/>
              </w:divBdr>
              <w:divsChild>
                <w:div w:id="7386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06012">
      <w:bodyDiv w:val="1"/>
      <w:marLeft w:val="0"/>
      <w:marRight w:val="0"/>
      <w:marTop w:val="0"/>
      <w:marBottom w:val="0"/>
      <w:divBdr>
        <w:top w:val="none" w:sz="0" w:space="0" w:color="auto"/>
        <w:left w:val="none" w:sz="0" w:space="0" w:color="auto"/>
        <w:bottom w:val="none" w:sz="0" w:space="0" w:color="auto"/>
        <w:right w:val="none" w:sz="0" w:space="0" w:color="auto"/>
      </w:divBdr>
      <w:divsChild>
        <w:div w:id="1974024451">
          <w:marLeft w:val="0"/>
          <w:marRight w:val="0"/>
          <w:marTop w:val="0"/>
          <w:marBottom w:val="0"/>
          <w:divBdr>
            <w:top w:val="none" w:sz="0" w:space="0" w:color="auto"/>
            <w:left w:val="none" w:sz="0" w:space="0" w:color="auto"/>
            <w:bottom w:val="none" w:sz="0" w:space="0" w:color="auto"/>
            <w:right w:val="none" w:sz="0" w:space="0" w:color="auto"/>
          </w:divBdr>
          <w:divsChild>
            <w:div w:id="1559584404">
              <w:marLeft w:val="0"/>
              <w:marRight w:val="0"/>
              <w:marTop w:val="0"/>
              <w:marBottom w:val="0"/>
              <w:divBdr>
                <w:top w:val="none" w:sz="0" w:space="0" w:color="auto"/>
                <w:left w:val="none" w:sz="0" w:space="0" w:color="auto"/>
                <w:bottom w:val="none" w:sz="0" w:space="0" w:color="auto"/>
                <w:right w:val="none" w:sz="0" w:space="0" w:color="auto"/>
              </w:divBdr>
              <w:divsChild>
                <w:div w:id="1134175831">
                  <w:marLeft w:val="0"/>
                  <w:marRight w:val="0"/>
                  <w:marTop w:val="0"/>
                  <w:marBottom w:val="0"/>
                  <w:divBdr>
                    <w:top w:val="none" w:sz="0" w:space="0" w:color="auto"/>
                    <w:left w:val="none" w:sz="0" w:space="0" w:color="auto"/>
                    <w:bottom w:val="none" w:sz="0" w:space="0" w:color="auto"/>
                    <w:right w:val="none" w:sz="0" w:space="0" w:color="auto"/>
                  </w:divBdr>
                  <w:divsChild>
                    <w:div w:id="15024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4472">
      <w:bodyDiv w:val="1"/>
      <w:marLeft w:val="0"/>
      <w:marRight w:val="0"/>
      <w:marTop w:val="0"/>
      <w:marBottom w:val="0"/>
      <w:divBdr>
        <w:top w:val="none" w:sz="0" w:space="0" w:color="auto"/>
        <w:left w:val="none" w:sz="0" w:space="0" w:color="auto"/>
        <w:bottom w:val="none" w:sz="0" w:space="0" w:color="auto"/>
        <w:right w:val="none" w:sz="0" w:space="0" w:color="auto"/>
      </w:divBdr>
      <w:divsChild>
        <w:div w:id="1483548600">
          <w:marLeft w:val="0"/>
          <w:marRight w:val="0"/>
          <w:marTop w:val="0"/>
          <w:marBottom w:val="0"/>
          <w:divBdr>
            <w:top w:val="none" w:sz="0" w:space="0" w:color="auto"/>
            <w:left w:val="none" w:sz="0" w:space="0" w:color="auto"/>
            <w:bottom w:val="none" w:sz="0" w:space="0" w:color="auto"/>
            <w:right w:val="none" w:sz="0" w:space="0" w:color="auto"/>
          </w:divBdr>
          <w:divsChild>
            <w:div w:id="663046345">
              <w:marLeft w:val="0"/>
              <w:marRight w:val="0"/>
              <w:marTop w:val="0"/>
              <w:marBottom w:val="0"/>
              <w:divBdr>
                <w:top w:val="none" w:sz="0" w:space="0" w:color="auto"/>
                <w:left w:val="none" w:sz="0" w:space="0" w:color="auto"/>
                <w:bottom w:val="none" w:sz="0" w:space="0" w:color="auto"/>
                <w:right w:val="none" w:sz="0" w:space="0" w:color="auto"/>
              </w:divBdr>
              <w:divsChild>
                <w:div w:id="16192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02575">
      <w:bodyDiv w:val="1"/>
      <w:marLeft w:val="0"/>
      <w:marRight w:val="0"/>
      <w:marTop w:val="0"/>
      <w:marBottom w:val="0"/>
      <w:divBdr>
        <w:top w:val="none" w:sz="0" w:space="0" w:color="auto"/>
        <w:left w:val="none" w:sz="0" w:space="0" w:color="auto"/>
        <w:bottom w:val="none" w:sz="0" w:space="0" w:color="auto"/>
        <w:right w:val="none" w:sz="0" w:space="0" w:color="auto"/>
      </w:divBdr>
      <w:divsChild>
        <w:div w:id="945576488">
          <w:marLeft w:val="0"/>
          <w:marRight w:val="0"/>
          <w:marTop w:val="0"/>
          <w:marBottom w:val="0"/>
          <w:divBdr>
            <w:top w:val="none" w:sz="0" w:space="0" w:color="auto"/>
            <w:left w:val="none" w:sz="0" w:space="0" w:color="auto"/>
            <w:bottom w:val="none" w:sz="0" w:space="0" w:color="auto"/>
            <w:right w:val="none" w:sz="0" w:space="0" w:color="auto"/>
          </w:divBdr>
          <w:divsChild>
            <w:div w:id="371543867">
              <w:marLeft w:val="0"/>
              <w:marRight w:val="0"/>
              <w:marTop w:val="0"/>
              <w:marBottom w:val="0"/>
              <w:divBdr>
                <w:top w:val="none" w:sz="0" w:space="0" w:color="auto"/>
                <w:left w:val="none" w:sz="0" w:space="0" w:color="auto"/>
                <w:bottom w:val="none" w:sz="0" w:space="0" w:color="auto"/>
                <w:right w:val="none" w:sz="0" w:space="0" w:color="auto"/>
              </w:divBdr>
              <w:divsChild>
                <w:div w:id="1491406693">
                  <w:marLeft w:val="0"/>
                  <w:marRight w:val="0"/>
                  <w:marTop w:val="0"/>
                  <w:marBottom w:val="0"/>
                  <w:divBdr>
                    <w:top w:val="none" w:sz="0" w:space="0" w:color="auto"/>
                    <w:left w:val="none" w:sz="0" w:space="0" w:color="auto"/>
                    <w:bottom w:val="none" w:sz="0" w:space="0" w:color="auto"/>
                    <w:right w:val="none" w:sz="0" w:space="0" w:color="auto"/>
                  </w:divBdr>
                  <w:divsChild>
                    <w:div w:id="8471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71039">
      <w:bodyDiv w:val="1"/>
      <w:marLeft w:val="0"/>
      <w:marRight w:val="0"/>
      <w:marTop w:val="0"/>
      <w:marBottom w:val="0"/>
      <w:divBdr>
        <w:top w:val="none" w:sz="0" w:space="0" w:color="auto"/>
        <w:left w:val="none" w:sz="0" w:space="0" w:color="auto"/>
        <w:bottom w:val="none" w:sz="0" w:space="0" w:color="auto"/>
        <w:right w:val="none" w:sz="0" w:space="0" w:color="auto"/>
      </w:divBdr>
      <w:divsChild>
        <w:div w:id="1862893186">
          <w:marLeft w:val="0"/>
          <w:marRight w:val="0"/>
          <w:marTop w:val="0"/>
          <w:marBottom w:val="0"/>
          <w:divBdr>
            <w:top w:val="none" w:sz="0" w:space="0" w:color="auto"/>
            <w:left w:val="none" w:sz="0" w:space="0" w:color="auto"/>
            <w:bottom w:val="none" w:sz="0" w:space="0" w:color="auto"/>
            <w:right w:val="none" w:sz="0" w:space="0" w:color="auto"/>
          </w:divBdr>
          <w:divsChild>
            <w:div w:id="119302414">
              <w:marLeft w:val="0"/>
              <w:marRight w:val="0"/>
              <w:marTop w:val="0"/>
              <w:marBottom w:val="0"/>
              <w:divBdr>
                <w:top w:val="none" w:sz="0" w:space="0" w:color="auto"/>
                <w:left w:val="none" w:sz="0" w:space="0" w:color="auto"/>
                <w:bottom w:val="none" w:sz="0" w:space="0" w:color="auto"/>
                <w:right w:val="none" w:sz="0" w:space="0" w:color="auto"/>
              </w:divBdr>
              <w:divsChild>
                <w:div w:id="6396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Improvements for labelling Human Platelets</vt:lpstr>
    </vt:vector>
  </TitlesOfParts>
  <Company>Maison</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Improvements for labelling Human Platelets</dc:title>
  <dc:subject/>
  <dc:creator>Réal</dc:creator>
  <cp:keywords/>
  <cp:lastModifiedBy>Leonid Volkov</cp:lastModifiedBy>
  <cp:revision>3</cp:revision>
  <cp:lastPrinted>2008-09-09T20:57:00Z</cp:lastPrinted>
  <dcterms:created xsi:type="dcterms:W3CDTF">2025-07-16T19:59:00Z</dcterms:created>
  <dcterms:modified xsi:type="dcterms:W3CDTF">2025-07-29T19:26:00Z</dcterms:modified>
</cp:coreProperties>
</file>